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3A" w:rsidRPr="008A093A" w:rsidRDefault="00077C93" w:rsidP="008A0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8A093A" w:rsidRPr="008A093A">
        <w:rPr>
          <w:rFonts w:ascii="Times New Roman" w:eastAsia="Times New Roman" w:hAnsi="Times New Roman" w:cs="Times New Roman"/>
          <w:b/>
          <w:sz w:val="24"/>
          <w:szCs w:val="24"/>
        </w:rPr>
        <w:t>АО «Самарская сетевая компания»</w:t>
      </w:r>
    </w:p>
    <w:p w:rsidR="00077C93" w:rsidRPr="00077C93" w:rsidRDefault="00077C93" w:rsidP="008A093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077C93" w:rsidRPr="00077C93" w:rsidRDefault="00077C93" w:rsidP="000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ВРЕМЕННОЕ ТЕХНОЛОГИЧЕСКОЕ ПРИСОЕДИНЕНИЕ К ЭЛЕКТРИЧЕСКИМ СЕТЯМ СЕТЕВОЙ ОРГАНИЗАЦИИ</w:t>
      </w:r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C93" w:rsidRPr="00A64EED" w:rsidRDefault="00077C93" w:rsidP="0007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физическое лицо, индивидуальный предприниматель или юридическое лицо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до наступления срока технологического присоединения по постоянной схеме, либо когда энергопринимающие устройства являются передвижными и имеют максимальную мощность до 150 кВт включительно на срок до 12 месяцев.</w:t>
      </w:r>
      <w:proofErr w:type="gramEnd"/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</w:t>
      </w: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>ств с пр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>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В случае технологического присоединения энергопринимающего устройства максимальной мощностью, не превышающей 15 кВт включительно (с учетом ранее присоединенных в данной точке присоединения энергопринимающих устройств) по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A64EED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A64EED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 - размер платы 550,00 рублей.</w:t>
      </w:r>
    </w:p>
    <w:p w:rsidR="00077C93" w:rsidRPr="00A64EED" w:rsidRDefault="00077C93" w:rsidP="0007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до наступления срока технологического присоединения по постоянной схеме, либо когда энергопринимающие устройства являются передвижными и имеют максимальную мощность до 150 к</w:t>
      </w: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>Вт вкл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>ючительно на срок до 12 месяцев.</w:t>
      </w:r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присоединения энергопринимающих устройств Заявителя.</w:t>
      </w:r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A64EED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A64EED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</w:p>
    <w:p w:rsidR="00077C93" w:rsidRPr="00A64EED" w:rsidRDefault="00077C93" w:rsidP="00077C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энергопринимающих устройств и (или) объектов электроэнергетики -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15 рабочих дней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(если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 заявке не указан более продолжительный срок) </w:t>
      </w: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договора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при временном технологическом присоединении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C93" w:rsidRPr="00A64EED" w:rsidRDefault="00077C93" w:rsidP="00077C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15 рабочих дней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(если в заявке не указан более продолжительный срок) - при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временном технологическом присоединении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заявителей, энергопринимающие устройства которых являются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передвижными и имеют максимальную мощность до 150 к</w:t>
      </w:r>
      <w:proofErr w:type="gramStart"/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Вт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вкл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ючительно, если расстояние от энергопринимающего устройства заявителя до существующих электрических сетей необходимого класса напряжения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A64EED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A64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C93" w:rsidRPr="00A64EED" w:rsidRDefault="00077C93" w:rsidP="00077C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При несоблюдении всех вышеуказанных условий -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077C93" w:rsidRPr="00A64EED" w:rsidRDefault="00077C93" w:rsidP="00077C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260"/>
        <w:gridCol w:w="2455"/>
        <w:gridCol w:w="2604"/>
        <w:gridCol w:w="2306"/>
        <w:gridCol w:w="1798"/>
        <w:gridCol w:w="2686"/>
      </w:tblGrid>
      <w:tr w:rsidR="00077C93" w:rsidRPr="00077C93" w:rsidTr="00A64EED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4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4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8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7" w:type="pct"/>
            <w:vMerge w:val="restar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774" w:type="pct"/>
            <w:vMerge w:val="restar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841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8A093A" w:rsidRPr="008A093A" w:rsidRDefault="00077C93" w:rsidP="008A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8A093A" w:rsidRPr="008A093A">
              <w:rPr>
                <w:rFonts w:ascii="Times New Roman" w:eastAsia="Times New Roman" w:hAnsi="Times New Roman" w:cs="Times New Roman"/>
                <w:sz w:val="24"/>
                <w:szCs w:val="24"/>
              </w:rPr>
              <w:t>АО «Самарская сетевая компания»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Пункты 7 (а), 8, 9, 10, </w:t>
            </w:r>
            <w:r w:rsidR="00BC3E63">
              <w:rPr>
                <w:rFonts w:ascii="Times New Roman" w:eastAsia="Times New Roman" w:hAnsi="Times New Roman" w:cs="Times New Roman"/>
              </w:rPr>
              <w:t>13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1.2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F02117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 w:rsidRPr="001D1D25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Заключение договора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об осуществлении технологического присоединения к электрическим сетям</w:t>
            </w:r>
          </w:p>
        </w:tc>
        <w:tc>
          <w:tcPr>
            <w:tcW w:w="841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у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заявителя заключенного с сетевой организацией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за исключением случаев, когда энергопринимающие устройства являются передвижными и имеют максимальную мощность до 150 кВт);</w:t>
            </w:r>
          </w:p>
          <w:p w:rsidR="00077C93" w:rsidRPr="00077C93" w:rsidRDefault="00077C93" w:rsidP="00077C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2.1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(выдача при очном посещении офиса обслуживания) сетевой организацией проекта договора об осуществлении технологического присоединения с  техническими условиями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договора, подписанного со стороны сетевой организации, направляется 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дней со дня 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получения заявки; </w:t>
            </w:r>
          </w:p>
          <w:p w:rsidR="00077C93" w:rsidRPr="00077C93" w:rsidRDefault="00077C93" w:rsidP="008C5F89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</w:t>
            </w:r>
            <w:r w:rsidR="008C5F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C5F89"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Пункт 15 Правил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2.2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77C93">
              <w:rPr>
                <w:rFonts w:ascii="Times New Roman" w:eastAsia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8300BB" w:rsidRDefault="00F02117" w:rsidP="004E2B0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заявителем проекта договора. В случае не направления подписанного проекта договора либо мотивированного отказа от его подписания через 30 рабочих дней  - заявка аннулируется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2.3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2.4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заявителем договора и копии представленных документов заявителем.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841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временного технологического присоединения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3.1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 16,18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2117" w:rsidRPr="00077C93" w:rsidTr="00223D0C"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3.2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77C93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3.3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77C93">
              <w:rPr>
                <w:rFonts w:ascii="Times New Roman" w:eastAsia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09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3.4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77C93">
              <w:rPr>
                <w:rFonts w:ascii="Times New Roman" w:eastAsia="Times New Roman" w:hAnsi="Times New Roman" w:cs="Times New Roman"/>
              </w:rPr>
              <w:t> Направление уведомления заявителем сетевой организации о выполнении технических условий с необходимым пакетом документов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4.1.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Default="00F02117" w:rsidP="00F021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Акт о выполнении технических условий в письменной форме выдаются заявителю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2E152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Пункты 8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77C9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90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устранении замечаний по выполнению технических условий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4.2.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Default="00F02117" w:rsidP="00F021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Акт о выполнении техниче</w:t>
            </w:r>
            <w:r>
              <w:rPr>
                <w:rFonts w:ascii="Times New Roman" w:eastAsia="Times New Roman" w:hAnsi="Times New Roman" w:cs="Times New Roman"/>
              </w:rPr>
              <w:t>ских условий в письменной форме.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приложением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информации о принятых мерах по их устранению.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077C93">
              <w:rPr>
                <w:rFonts w:ascii="Times New Roman" w:eastAsia="Times New Roman" w:hAnsi="Times New Roman" w:cs="Times New Roman"/>
              </w:rPr>
              <w:t> Прием в эксплуатацию прибора учета.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D13D54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F02117" w:rsidRPr="00077C93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F02117" w:rsidRPr="00077C93">
              <w:rPr>
                <w:rFonts w:ascii="Times New Roman" w:eastAsia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077C93">
              <w:rPr>
                <w:rFonts w:ascii="Calibri" w:eastAsia="Times New Roman" w:hAnsi="Calibri" w:cs="Times New Roman"/>
              </w:rPr>
              <w:t xml:space="preserve">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077C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В день проведения осмотра 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4.4. </w:t>
            </w:r>
            <w:r w:rsidRPr="00077C93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5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5.1</w:t>
            </w:r>
            <w:r w:rsidRPr="00077C93">
              <w:rPr>
                <w:rFonts w:ascii="Times New Roman" w:eastAsia="Times New Roman" w:hAnsi="Times New Roman" w:cs="Times New Roman"/>
              </w:rPr>
              <w:t> 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5.2.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направление (выдача) заявителю: 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Подписанные со стороны сетевой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организации Акты  в письменной форме направляются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условиями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Пункт 19 Правил технологического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5.3.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rPr>
                <w:rFonts w:ascii="Calibri" w:eastAsia="Times New Roman" w:hAnsi="Calibri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 19(1)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6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Отсоединение объектов заявителя от электрических сетей</w:t>
            </w:r>
          </w:p>
        </w:tc>
        <w:tc>
          <w:tcPr>
            <w:tcW w:w="841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По окончании срока, на который осуществлялось технологическое присоединение с применением временной схемы электроснабжения, или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при наличии основания для его досрочного прекращения: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а) по обращению заявителя, поданному не позднее 10 дней до планируемой даты отсоединения;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б) при расторжении договора об осуществлении технологического присоединения с применением постоянной схемы электроснабжения.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6.1.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Сетевая организация, письменно уведомляет заявителя о дате и времени отсоединения энергопринимающих устройств заявителя от объектов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электросетевого хозяйства сетевой организации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Не позднее, чем за 10 рабочих дней до дня отсоединения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 55, 56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6.2.</w:t>
            </w:r>
            <w:r w:rsidRPr="00077C93">
              <w:rPr>
                <w:rFonts w:ascii="Times New Roman" w:eastAsia="Times New Roman" w:hAnsi="Times New Roman" w:cs="Times New Roman"/>
              </w:rPr>
              <w:t> Выполнение работ по отсоединению энергопринимающих устройств заявителя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до 12 месяцев (энергопринимающие устройства являются передвижными и имеют максимальную мощность до 150 кВт);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 55, 56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2117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6.3.</w:t>
            </w:r>
            <w:r w:rsidRPr="00077C93">
              <w:rPr>
                <w:rFonts w:ascii="Times New Roman" w:eastAsia="Times New Roman" w:hAnsi="Times New Roman" w:cs="Times New Roman"/>
              </w:rPr>
              <w:t> Выдача Сетевой</w:t>
            </w:r>
            <w:r w:rsidRPr="00077C93">
              <w:rPr>
                <w:rFonts w:ascii="Calibri" w:eastAsia="Times New Roman" w:hAnsi="Calibri" w:cs="Times New Roman"/>
              </w:rPr>
              <w:t xml:space="preserve"> 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организацией Акта об отсоединении энергопринимающих устройств заявителю и направление Акта в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организацию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письменной форме способом, позволяющим установить дату отправки и получения указанного акта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В течение 5 рабочих дней </w:t>
            </w:r>
          </w:p>
          <w:p w:rsidR="00F02117" w:rsidRPr="00077C93" w:rsidRDefault="00F02117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2117" w:rsidRPr="00077C93" w:rsidRDefault="00F02117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 56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077C93" w:rsidRPr="00077C93" w:rsidRDefault="00077C93" w:rsidP="00077C93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</w:pPr>
    </w:p>
    <w:p w:rsidR="00077C93" w:rsidRPr="00A64EED" w:rsidRDefault="00077C93" w:rsidP="00077C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93A" w:rsidRPr="00A64EED" w:rsidRDefault="008A093A" w:rsidP="008A093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Единый номер телефонного центра обслуживания </w:t>
      </w:r>
      <w:r w:rsidRPr="00A64EED">
        <w:rPr>
          <w:rFonts w:ascii="Times New Roman" w:eastAsia="Times New Roman" w:hAnsi="Times New Roman" w:cs="Times New Roman"/>
          <w:i/>
          <w:sz w:val="24"/>
          <w:szCs w:val="24"/>
        </w:rPr>
        <w:t>АО «ССК»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8-800-222-94-22</w:t>
      </w:r>
    </w:p>
    <w:p w:rsidR="008A093A" w:rsidRPr="00A64EED" w:rsidRDefault="008A093A" w:rsidP="008A093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Адрес: 443079, Россия, г. Самара, ул. Гагарина, 22; </w:t>
      </w:r>
    </w:p>
    <w:p w:rsidR="008A093A" w:rsidRPr="00A64EED" w:rsidRDefault="008A093A" w:rsidP="008A093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A64EED">
        <w:rPr>
          <w:rFonts w:ascii="Calibri" w:eastAsia="Times New Roman" w:hAnsi="Calibri" w:cs="Times New Roman"/>
        </w:rPr>
        <w:t xml:space="preserve"> TSOK@ssk63.ru</w:t>
      </w:r>
    </w:p>
    <w:p w:rsidR="00077C93" w:rsidRDefault="00077C93" w:rsidP="008A093A">
      <w:pPr>
        <w:autoSpaceDE w:val="0"/>
        <w:autoSpaceDN w:val="0"/>
        <w:adjustRightInd w:val="0"/>
        <w:spacing w:after="60" w:line="240" w:lineRule="auto"/>
        <w:ind w:left="709"/>
        <w:jc w:val="both"/>
      </w:pPr>
    </w:p>
    <w:sectPr w:rsidR="00077C93" w:rsidSect="00077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54" w:rsidRDefault="00D13D54" w:rsidP="00077C93">
      <w:pPr>
        <w:spacing w:after="0" w:line="240" w:lineRule="auto"/>
      </w:pPr>
      <w:r>
        <w:separator/>
      </w:r>
    </w:p>
  </w:endnote>
  <w:endnote w:type="continuationSeparator" w:id="0">
    <w:p w:rsidR="00D13D54" w:rsidRDefault="00D13D54" w:rsidP="0007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54" w:rsidRDefault="00D13D54" w:rsidP="00077C93">
      <w:pPr>
        <w:spacing w:after="0" w:line="240" w:lineRule="auto"/>
      </w:pPr>
      <w:r>
        <w:separator/>
      </w:r>
    </w:p>
  </w:footnote>
  <w:footnote w:type="continuationSeparator" w:id="0">
    <w:p w:rsidR="00D13D54" w:rsidRDefault="00D13D54" w:rsidP="00077C93">
      <w:pPr>
        <w:spacing w:after="0" w:line="240" w:lineRule="auto"/>
      </w:pPr>
      <w:r>
        <w:continuationSeparator/>
      </w:r>
    </w:p>
  </w:footnote>
  <w:footnote w:id="1">
    <w:p w:rsidR="00F02117" w:rsidRDefault="00F02117" w:rsidP="00077C93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F167C4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F167C4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5A1AE0"/>
    <w:multiLevelType w:val="hybridMultilevel"/>
    <w:tmpl w:val="598A58C2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3"/>
    <w:rsid w:val="000313F9"/>
    <w:rsid w:val="00066C36"/>
    <w:rsid w:val="00077C93"/>
    <w:rsid w:val="00094FCF"/>
    <w:rsid w:val="00100DDD"/>
    <w:rsid w:val="00125FA2"/>
    <w:rsid w:val="001753BC"/>
    <w:rsid w:val="00196E38"/>
    <w:rsid w:val="00223D0C"/>
    <w:rsid w:val="002E0831"/>
    <w:rsid w:val="002E1524"/>
    <w:rsid w:val="00301ADE"/>
    <w:rsid w:val="00307AA2"/>
    <w:rsid w:val="0033682E"/>
    <w:rsid w:val="003B3385"/>
    <w:rsid w:val="00466CCE"/>
    <w:rsid w:val="004A6573"/>
    <w:rsid w:val="004B2050"/>
    <w:rsid w:val="00536EA8"/>
    <w:rsid w:val="005B5A78"/>
    <w:rsid w:val="00687C86"/>
    <w:rsid w:val="00796C4D"/>
    <w:rsid w:val="00851D9D"/>
    <w:rsid w:val="008937D8"/>
    <w:rsid w:val="008A093A"/>
    <w:rsid w:val="008C5F89"/>
    <w:rsid w:val="009428A8"/>
    <w:rsid w:val="00A64EED"/>
    <w:rsid w:val="00B84FF2"/>
    <w:rsid w:val="00B912FC"/>
    <w:rsid w:val="00BC3E63"/>
    <w:rsid w:val="00BD3E15"/>
    <w:rsid w:val="00BE3F03"/>
    <w:rsid w:val="00C26D28"/>
    <w:rsid w:val="00C614B5"/>
    <w:rsid w:val="00D13D54"/>
    <w:rsid w:val="00DB6858"/>
    <w:rsid w:val="00E766FA"/>
    <w:rsid w:val="00F02117"/>
    <w:rsid w:val="00F558C8"/>
    <w:rsid w:val="00F700B7"/>
    <w:rsid w:val="00F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077C93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077C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6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96C4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6C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6C4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6C4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6C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077C93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077C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6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96C4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6C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6C4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6C4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6C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Перегонцева Наталья</cp:lastModifiedBy>
  <cp:revision>2</cp:revision>
  <cp:lastPrinted>2016-12-07T07:12:00Z</cp:lastPrinted>
  <dcterms:created xsi:type="dcterms:W3CDTF">2021-06-11T09:01:00Z</dcterms:created>
  <dcterms:modified xsi:type="dcterms:W3CDTF">2021-06-11T09:01:00Z</dcterms:modified>
</cp:coreProperties>
</file>